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C78" w:rsidRDefault="007E2F59" w:rsidP="00255C78">
      <w:pPr>
        <w:spacing w:after="0"/>
        <w:rPr>
          <w:rFonts w:ascii="Century Gothic" w:hAnsi="Century Gothic"/>
          <w:b/>
          <w:sz w:val="56"/>
          <w:szCs w:val="56"/>
        </w:rPr>
      </w:pPr>
      <w:r>
        <w:rPr>
          <w:rFonts w:ascii="Century Gothic" w:hAnsi="Century Gothic"/>
          <w:b/>
          <w:noProof/>
          <w:sz w:val="56"/>
          <w:szCs w:val="56"/>
        </w:rPr>
        <w:drawing>
          <wp:anchor distT="0" distB="0" distL="114300" distR="114300" simplePos="0" relativeHeight="251660288" behindDoc="0" locked="0" layoutInCell="1" allowOverlap="1">
            <wp:simplePos x="0" y="0"/>
            <wp:positionH relativeFrom="column">
              <wp:posOffset>9525</wp:posOffset>
            </wp:positionH>
            <wp:positionV relativeFrom="paragraph">
              <wp:posOffset>-9525</wp:posOffset>
            </wp:positionV>
            <wp:extent cx="1781175" cy="1485900"/>
            <wp:effectExtent l="19050" t="0" r="9525" b="0"/>
            <wp:wrapSquare wrapText="bothSides"/>
            <wp:docPr id="2" name="Picture 1" descr="0023213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232138.wmf"/>
                    <pic:cNvPicPr/>
                  </pic:nvPicPr>
                  <pic:blipFill>
                    <a:blip r:embed="rId7" cstate="print"/>
                    <a:stretch>
                      <a:fillRect/>
                    </a:stretch>
                  </pic:blipFill>
                  <pic:spPr>
                    <a:xfrm>
                      <a:off x="0" y="0"/>
                      <a:ext cx="1781175" cy="1485900"/>
                    </a:xfrm>
                    <a:prstGeom prst="rect">
                      <a:avLst/>
                    </a:prstGeom>
                  </pic:spPr>
                </pic:pic>
              </a:graphicData>
            </a:graphic>
          </wp:anchor>
        </w:drawing>
      </w:r>
      <w:r w:rsidR="005A6815">
        <w:rPr>
          <w:rFonts w:ascii="Century Gothic" w:hAnsi="Century Gothic"/>
          <w:b/>
          <w:noProof/>
          <w:sz w:val="56"/>
          <w:szCs w:val="56"/>
        </w:rPr>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s1026" type="#_x0000_t152" style="position:absolute;margin-left:175.5pt;margin-top:-9.75pt;width:310.5pt;height:73.3pt;z-index:251658240;mso-position-horizontal-relative:text;mso-position-vertical-relative:text" adj="8717" fillcolor="#c0c" strokeweight="1pt">
            <v:fill color2="#909" rotate="t" focus="100%" type="gradient"/>
            <v:shadow on="t" opacity="52429f" offset="3pt"/>
            <v:textpath style="font-family:&quot;Century Gothic&quot;;font-weight:bold;v-text-kern:t" trim="t" fitpath="t" xscale="f" string="A Closer Look"/>
            <w10:wrap type="square"/>
          </v:shape>
        </w:pict>
      </w:r>
    </w:p>
    <w:p w:rsidR="00255C78" w:rsidRDefault="00255C78" w:rsidP="00255C78">
      <w:pPr>
        <w:spacing w:after="0"/>
        <w:rPr>
          <w:rFonts w:ascii="Century Gothic" w:hAnsi="Century Gothic"/>
          <w:b/>
          <w:sz w:val="56"/>
          <w:szCs w:val="56"/>
        </w:rPr>
      </w:pPr>
    </w:p>
    <w:p w:rsidR="007E2F59" w:rsidRDefault="00255C78" w:rsidP="007E2F59">
      <w:pPr>
        <w:spacing w:after="0"/>
        <w:jc w:val="center"/>
        <w:rPr>
          <w:i/>
          <w:sz w:val="48"/>
          <w:szCs w:val="48"/>
        </w:rPr>
      </w:pPr>
      <w:r w:rsidRPr="00905920">
        <w:rPr>
          <w:rFonts w:ascii="Century Gothic" w:hAnsi="Century Gothic"/>
          <w:b/>
          <w:sz w:val="48"/>
          <w:szCs w:val="48"/>
        </w:rPr>
        <w:t>Defining Formative Assessment</w:t>
      </w:r>
    </w:p>
    <w:p w:rsidR="00255C78" w:rsidRPr="007E2F59" w:rsidRDefault="00255C78" w:rsidP="007E2F59">
      <w:pPr>
        <w:spacing w:after="0"/>
        <w:jc w:val="center"/>
        <w:rPr>
          <w:i/>
          <w:sz w:val="48"/>
          <w:szCs w:val="48"/>
        </w:rPr>
      </w:pPr>
      <w:r w:rsidRPr="00905920">
        <w:rPr>
          <w:i/>
          <w:sz w:val="40"/>
          <w:szCs w:val="40"/>
        </w:rPr>
        <w:t>Partners for Mathematics Learning 2010</w:t>
      </w:r>
    </w:p>
    <w:p w:rsidR="00255C78" w:rsidRDefault="005A6815" w:rsidP="00255C78">
      <w:pPr>
        <w:autoSpaceDE w:val="0"/>
        <w:autoSpaceDN w:val="0"/>
        <w:adjustRightInd w:val="0"/>
        <w:spacing w:after="0" w:line="240" w:lineRule="auto"/>
        <w:rPr>
          <w:rFonts w:cs="ArialMT"/>
          <w:color w:val="000000"/>
          <w:sz w:val="28"/>
          <w:szCs w:val="28"/>
        </w:rPr>
      </w:pPr>
      <w:r w:rsidRPr="005A6815">
        <w:rPr>
          <w:rFonts w:ascii="Century Gothic" w:hAnsi="Century Gothic" w:cs="ArialMT"/>
          <w:noProof/>
          <w:color w:val="000000"/>
          <w:sz w:val="24"/>
          <w:szCs w:val="24"/>
          <w:lang w:eastAsia="zh-TW"/>
        </w:rPr>
        <w:pict>
          <v:shapetype id="_x0000_t202" coordsize="21600,21600" o:spt="202" path="m,l,21600r21600,l21600,xe">
            <v:stroke joinstyle="miter"/>
            <v:path gradientshapeok="t" o:connecttype="rect"/>
          </v:shapetype>
          <v:shape id="_x0000_s1027" type="#_x0000_t202" style="position:absolute;margin-left:27.55pt;margin-top:3.9pt;width:495.45pt;height:142.55pt;z-index:251662336;mso-width-relative:margin;mso-height-relative:margin" strokecolor="#c0f" strokeweight="3pt">
            <v:stroke dashstyle="1 1"/>
            <v:textbox>
              <w:txbxContent>
                <w:p w:rsidR="00C1081B" w:rsidRPr="002C13BD" w:rsidRDefault="00C1081B" w:rsidP="00C1081B">
                  <w:pPr>
                    <w:autoSpaceDE w:val="0"/>
                    <w:autoSpaceDN w:val="0"/>
                    <w:adjustRightInd w:val="0"/>
                    <w:spacing w:after="0" w:line="240" w:lineRule="auto"/>
                    <w:rPr>
                      <w:rFonts w:ascii="Century Gothic" w:hAnsi="Century Gothic" w:cs="ArialMT"/>
                      <w:color w:val="000000"/>
                      <w:sz w:val="24"/>
                      <w:szCs w:val="24"/>
                    </w:rPr>
                  </w:pPr>
                  <w:r w:rsidRPr="002C13BD">
                    <w:rPr>
                      <w:rFonts w:ascii="Century Gothic" w:hAnsi="Century Gothic" w:cs="ArialMT"/>
                      <w:color w:val="000000"/>
                      <w:sz w:val="24"/>
                      <w:szCs w:val="24"/>
                    </w:rPr>
                    <w:t>Teachers make hundreds of decisions each day and thousands each week…</w:t>
                  </w:r>
                </w:p>
                <w:p w:rsidR="00C1081B" w:rsidRPr="002C13BD" w:rsidRDefault="00C1081B" w:rsidP="00C1081B">
                  <w:pPr>
                    <w:pStyle w:val="ListParagraph"/>
                    <w:autoSpaceDE w:val="0"/>
                    <w:autoSpaceDN w:val="0"/>
                    <w:adjustRightInd w:val="0"/>
                    <w:spacing w:after="0" w:line="240" w:lineRule="auto"/>
                    <w:rPr>
                      <w:rFonts w:ascii="Century Gothic" w:hAnsi="Century Gothic" w:cs="ArialMT"/>
                      <w:color w:val="000000"/>
                      <w:sz w:val="24"/>
                      <w:szCs w:val="24"/>
                    </w:rPr>
                  </w:pPr>
                </w:p>
                <w:p w:rsidR="00C1081B" w:rsidRPr="002C13BD" w:rsidRDefault="00C1081B" w:rsidP="00F3604D">
                  <w:pPr>
                    <w:pStyle w:val="ListParagraph"/>
                    <w:numPr>
                      <w:ilvl w:val="0"/>
                      <w:numId w:val="2"/>
                    </w:numPr>
                    <w:autoSpaceDE w:val="0"/>
                    <w:autoSpaceDN w:val="0"/>
                    <w:adjustRightInd w:val="0"/>
                    <w:spacing w:after="0" w:line="240" w:lineRule="auto"/>
                    <w:rPr>
                      <w:rFonts w:ascii="Century Gothic" w:hAnsi="Century Gothic" w:cs="ArialMT"/>
                      <w:color w:val="000000"/>
                      <w:sz w:val="24"/>
                      <w:szCs w:val="24"/>
                    </w:rPr>
                  </w:pPr>
                  <w:r w:rsidRPr="002C13BD">
                    <w:rPr>
                      <w:rFonts w:ascii="Century Gothic" w:hAnsi="Century Gothic" w:cs="ArialMT"/>
                      <w:color w:val="000000"/>
                      <w:sz w:val="24"/>
                      <w:szCs w:val="24"/>
                    </w:rPr>
                    <w:t>What content to teach; what success looks like</w:t>
                  </w:r>
                </w:p>
                <w:p w:rsidR="00C1081B" w:rsidRPr="002C13BD" w:rsidRDefault="00C1081B" w:rsidP="00F3604D">
                  <w:pPr>
                    <w:pStyle w:val="ListParagraph"/>
                    <w:numPr>
                      <w:ilvl w:val="0"/>
                      <w:numId w:val="2"/>
                    </w:numPr>
                    <w:autoSpaceDE w:val="0"/>
                    <w:autoSpaceDN w:val="0"/>
                    <w:adjustRightInd w:val="0"/>
                    <w:spacing w:after="0" w:line="240" w:lineRule="auto"/>
                    <w:rPr>
                      <w:rFonts w:ascii="Century Gothic" w:hAnsi="Century Gothic" w:cs="ArialMT"/>
                      <w:color w:val="000000"/>
                      <w:sz w:val="24"/>
                      <w:szCs w:val="24"/>
                    </w:rPr>
                  </w:pPr>
                  <w:r w:rsidRPr="002C13BD">
                    <w:rPr>
                      <w:rFonts w:ascii="Century Gothic" w:hAnsi="Century Gothic" w:cs="ArialMT"/>
                      <w:color w:val="000000"/>
                      <w:sz w:val="24"/>
                      <w:szCs w:val="24"/>
                    </w:rPr>
                    <w:t>What students already know about this content</w:t>
                  </w:r>
                </w:p>
                <w:p w:rsidR="00C1081B" w:rsidRPr="002C13BD" w:rsidRDefault="00C1081B" w:rsidP="00F3604D">
                  <w:pPr>
                    <w:pStyle w:val="ListParagraph"/>
                    <w:numPr>
                      <w:ilvl w:val="0"/>
                      <w:numId w:val="2"/>
                    </w:numPr>
                    <w:autoSpaceDE w:val="0"/>
                    <w:autoSpaceDN w:val="0"/>
                    <w:adjustRightInd w:val="0"/>
                    <w:spacing w:after="0" w:line="240" w:lineRule="auto"/>
                    <w:rPr>
                      <w:rFonts w:ascii="Century Gothic" w:hAnsi="Century Gothic" w:cs="ArialMT"/>
                      <w:color w:val="000000"/>
                      <w:sz w:val="24"/>
                      <w:szCs w:val="24"/>
                    </w:rPr>
                  </w:pPr>
                  <w:r w:rsidRPr="002C13BD">
                    <w:rPr>
                      <w:rFonts w:ascii="Century Gothic" w:hAnsi="Century Gothic" w:cs="ArialMT"/>
                      <w:color w:val="000000"/>
                      <w:sz w:val="24"/>
                      <w:szCs w:val="24"/>
                    </w:rPr>
                    <w:t>What tasks and activities to use</w:t>
                  </w:r>
                </w:p>
                <w:p w:rsidR="00734638" w:rsidRDefault="00C1081B" w:rsidP="00F3604D">
                  <w:pPr>
                    <w:pStyle w:val="ListParagraph"/>
                    <w:numPr>
                      <w:ilvl w:val="0"/>
                      <w:numId w:val="2"/>
                    </w:numPr>
                    <w:autoSpaceDE w:val="0"/>
                    <w:autoSpaceDN w:val="0"/>
                    <w:adjustRightInd w:val="0"/>
                    <w:spacing w:after="0" w:line="240" w:lineRule="auto"/>
                    <w:rPr>
                      <w:rFonts w:ascii="Century Gothic" w:hAnsi="Century Gothic" w:cs="ArialMT"/>
                      <w:color w:val="000000"/>
                      <w:sz w:val="24"/>
                      <w:szCs w:val="24"/>
                    </w:rPr>
                  </w:pPr>
                  <w:r w:rsidRPr="002C13BD">
                    <w:rPr>
                      <w:rFonts w:ascii="Century Gothic" w:hAnsi="Century Gothic" w:cs="ArialMT"/>
                      <w:color w:val="000000"/>
                      <w:sz w:val="24"/>
                      <w:szCs w:val="24"/>
                    </w:rPr>
                    <w:t>What students are learning; what misconceptions they have; what they</w:t>
                  </w:r>
                </w:p>
                <w:p w:rsidR="00C1081B" w:rsidRPr="002C13BD" w:rsidRDefault="00C1081B" w:rsidP="00734638">
                  <w:pPr>
                    <w:pStyle w:val="ListParagraph"/>
                    <w:autoSpaceDE w:val="0"/>
                    <w:autoSpaceDN w:val="0"/>
                    <w:adjustRightInd w:val="0"/>
                    <w:spacing w:after="0" w:line="240" w:lineRule="auto"/>
                    <w:ind w:left="1080" w:firstLine="360"/>
                    <w:rPr>
                      <w:rFonts w:ascii="Century Gothic" w:hAnsi="Century Gothic" w:cs="ArialMT"/>
                      <w:color w:val="000000"/>
                      <w:sz w:val="24"/>
                      <w:szCs w:val="24"/>
                    </w:rPr>
                  </w:pPr>
                  <w:r w:rsidRPr="002C13BD">
                    <w:rPr>
                      <w:rFonts w:ascii="Century Gothic" w:hAnsi="Century Gothic" w:cs="ArialMT"/>
                      <w:color w:val="000000"/>
                      <w:sz w:val="24"/>
                      <w:szCs w:val="24"/>
                    </w:rPr>
                    <w:t xml:space="preserve"> still need to learn</w:t>
                  </w:r>
                </w:p>
                <w:p w:rsidR="00C1081B" w:rsidRPr="002C13BD" w:rsidRDefault="00C1081B" w:rsidP="00C1081B">
                  <w:pPr>
                    <w:autoSpaceDE w:val="0"/>
                    <w:autoSpaceDN w:val="0"/>
                    <w:adjustRightInd w:val="0"/>
                    <w:spacing w:after="0" w:line="240" w:lineRule="auto"/>
                    <w:rPr>
                      <w:rFonts w:ascii="Century Gothic" w:hAnsi="Century Gothic" w:cs="Wingdings"/>
                      <w:color w:val="92172C"/>
                      <w:sz w:val="24"/>
                      <w:szCs w:val="24"/>
                    </w:rPr>
                  </w:pPr>
                </w:p>
                <w:p w:rsidR="00C1081B" w:rsidRPr="002C13BD" w:rsidRDefault="00C1081B" w:rsidP="00C1081B">
                  <w:pPr>
                    <w:autoSpaceDE w:val="0"/>
                    <w:autoSpaceDN w:val="0"/>
                    <w:adjustRightInd w:val="0"/>
                    <w:spacing w:after="0" w:line="240" w:lineRule="auto"/>
                    <w:rPr>
                      <w:rFonts w:ascii="Century Gothic" w:hAnsi="Century Gothic" w:cs="ArialMT"/>
                      <w:color w:val="000000"/>
                      <w:sz w:val="24"/>
                      <w:szCs w:val="24"/>
                    </w:rPr>
                  </w:pPr>
                  <w:r w:rsidRPr="002C13BD">
                    <w:rPr>
                      <w:rFonts w:ascii="Century Gothic" w:hAnsi="Century Gothic" w:cs="ArialMT"/>
                      <w:color w:val="000000"/>
                      <w:sz w:val="24"/>
                      <w:szCs w:val="24"/>
                    </w:rPr>
                    <w:t>Formative assessment generates the data needed for these decisions.</w:t>
                  </w:r>
                </w:p>
                <w:p w:rsidR="00C1081B" w:rsidRDefault="00C1081B"/>
              </w:txbxContent>
            </v:textbox>
          </v:shape>
        </w:pict>
      </w:r>
    </w:p>
    <w:p w:rsidR="00255C78" w:rsidRPr="002C13BD" w:rsidRDefault="00255C78" w:rsidP="00905920">
      <w:pPr>
        <w:autoSpaceDE w:val="0"/>
        <w:autoSpaceDN w:val="0"/>
        <w:adjustRightInd w:val="0"/>
        <w:spacing w:after="0" w:line="240" w:lineRule="auto"/>
        <w:jc w:val="center"/>
        <w:rPr>
          <w:rFonts w:ascii="Century Gothic" w:hAnsi="Century Gothic" w:cs="ArialMT"/>
          <w:b/>
          <w:color w:val="000000"/>
          <w:sz w:val="24"/>
          <w:szCs w:val="24"/>
        </w:rPr>
      </w:pPr>
    </w:p>
    <w:p w:rsidR="00842239" w:rsidRDefault="00842239" w:rsidP="002C13BD">
      <w:pPr>
        <w:autoSpaceDE w:val="0"/>
        <w:autoSpaceDN w:val="0"/>
        <w:adjustRightInd w:val="0"/>
        <w:spacing w:after="0" w:line="240" w:lineRule="auto"/>
        <w:rPr>
          <w:rFonts w:cs="ArialMT"/>
          <w:b/>
          <w:color w:val="000000"/>
          <w:sz w:val="28"/>
          <w:szCs w:val="28"/>
        </w:rPr>
      </w:pPr>
    </w:p>
    <w:p w:rsidR="00C1081B" w:rsidRDefault="00C1081B" w:rsidP="002C13BD">
      <w:pPr>
        <w:autoSpaceDE w:val="0"/>
        <w:autoSpaceDN w:val="0"/>
        <w:adjustRightInd w:val="0"/>
        <w:spacing w:after="0" w:line="240" w:lineRule="auto"/>
        <w:rPr>
          <w:rFonts w:cs="ArialMT"/>
          <w:b/>
          <w:color w:val="000000"/>
          <w:sz w:val="28"/>
          <w:szCs w:val="28"/>
        </w:rPr>
      </w:pPr>
    </w:p>
    <w:p w:rsidR="00C1081B" w:rsidRDefault="00C1081B" w:rsidP="002C13BD">
      <w:pPr>
        <w:autoSpaceDE w:val="0"/>
        <w:autoSpaceDN w:val="0"/>
        <w:adjustRightInd w:val="0"/>
        <w:spacing w:after="0" w:line="240" w:lineRule="auto"/>
        <w:rPr>
          <w:rFonts w:cs="ArialMT"/>
          <w:b/>
          <w:color w:val="000000"/>
          <w:sz w:val="28"/>
          <w:szCs w:val="28"/>
        </w:rPr>
      </w:pPr>
    </w:p>
    <w:p w:rsidR="00C1081B" w:rsidRDefault="00C1081B" w:rsidP="002C13BD">
      <w:pPr>
        <w:autoSpaceDE w:val="0"/>
        <w:autoSpaceDN w:val="0"/>
        <w:adjustRightInd w:val="0"/>
        <w:spacing w:after="0" w:line="240" w:lineRule="auto"/>
        <w:rPr>
          <w:rFonts w:cs="ArialMT"/>
          <w:b/>
          <w:color w:val="000000"/>
          <w:sz w:val="28"/>
          <w:szCs w:val="28"/>
        </w:rPr>
      </w:pPr>
    </w:p>
    <w:p w:rsidR="00C1081B" w:rsidRDefault="00C1081B" w:rsidP="002C13BD">
      <w:pPr>
        <w:autoSpaceDE w:val="0"/>
        <w:autoSpaceDN w:val="0"/>
        <w:adjustRightInd w:val="0"/>
        <w:spacing w:after="0" w:line="240" w:lineRule="auto"/>
        <w:rPr>
          <w:rFonts w:cs="ArialMT"/>
          <w:b/>
          <w:color w:val="000000"/>
          <w:sz w:val="28"/>
          <w:szCs w:val="28"/>
        </w:rPr>
      </w:pPr>
    </w:p>
    <w:p w:rsidR="00C1081B" w:rsidRDefault="00C1081B" w:rsidP="002C13BD">
      <w:pPr>
        <w:autoSpaceDE w:val="0"/>
        <w:autoSpaceDN w:val="0"/>
        <w:adjustRightInd w:val="0"/>
        <w:spacing w:after="0" w:line="240" w:lineRule="auto"/>
        <w:rPr>
          <w:rFonts w:cs="ArialMT"/>
          <w:b/>
          <w:color w:val="000000"/>
          <w:sz w:val="28"/>
          <w:szCs w:val="28"/>
        </w:rPr>
      </w:pPr>
    </w:p>
    <w:p w:rsidR="00C1081B" w:rsidRDefault="00C1081B" w:rsidP="002C13BD">
      <w:pPr>
        <w:autoSpaceDE w:val="0"/>
        <w:autoSpaceDN w:val="0"/>
        <w:adjustRightInd w:val="0"/>
        <w:spacing w:after="0" w:line="240" w:lineRule="auto"/>
        <w:rPr>
          <w:rFonts w:cs="ArialMT"/>
          <w:b/>
          <w:color w:val="000000"/>
          <w:sz w:val="28"/>
          <w:szCs w:val="28"/>
        </w:rPr>
      </w:pPr>
    </w:p>
    <w:p w:rsidR="00255C78" w:rsidRDefault="00255C78" w:rsidP="00765978">
      <w:pPr>
        <w:autoSpaceDE w:val="0"/>
        <w:autoSpaceDN w:val="0"/>
        <w:adjustRightInd w:val="0"/>
        <w:spacing w:after="0" w:line="240" w:lineRule="auto"/>
        <w:jc w:val="center"/>
        <w:rPr>
          <w:rFonts w:cs="ArialMT"/>
          <w:b/>
          <w:color w:val="666699"/>
          <w:sz w:val="28"/>
          <w:szCs w:val="28"/>
        </w:rPr>
      </w:pPr>
      <w:r w:rsidRPr="00765978">
        <w:rPr>
          <w:rFonts w:cs="ArialMT"/>
          <w:b/>
          <w:color w:val="666699"/>
          <w:sz w:val="28"/>
          <w:szCs w:val="28"/>
        </w:rPr>
        <w:t>The final Partners Modules link teaching and learning through formative assessment.</w:t>
      </w:r>
    </w:p>
    <w:p w:rsidR="00842B19" w:rsidRPr="00765978" w:rsidRDefault="00842B19" w:rsidP="00765978">
      <w:pPr>
        <w:autoSpaceDE w:val="0"/>
        <w:autoSpaceDN w:val="0"/>
        <w:adjustRightInd w:val="0"/>
        <w:spacing w:after="0" w:line="240" w:lineRule="auto"/>
        <w:jc w:val="center"/>
        <w:rPr>
          <w:rFonts w:cs="ArialMT"/>
          <w:b/>
          <w:color w:val="666699"/>
          <w:sz w:val="28"/>
          <w:szCs w:val="28"/>
        </w:rPr>
      </w:pPr>
    </w:p>
    <w:p w:rsidR="00255C78" w:rsidRPr="00760B70" w:rsidRDefault="00255C78" w:rsidP="00255C78">
      <w:pPr>
        <w:spacing w:after="0"/>
        <w:rPr>
          <w:b/>
          <w:sz w:val="26"/>
          <w:szCs w:val="28"/>
        </w:rPr>
      </w:pPr>
      <w:r w:rsidRPr="00760B70">
        <w:rPr>
          <w:b/>
          <w:color w:val="FF0000"/>
          <w:sz w:val="26"/>
          <w:szCs w:val="28"/>
          <w:u w:val="single"/>
        </w:rPr>
        <w:t>Module 1: Learning Targets</w:t>
      </w:r>
      <w:r w:rsidRPr="00760B70">
        <w:rPr>
          <w:b/>
          <w:sz w:val="26"/>
          <w:szCs w:val="28"/>
        </w:rPr>
        <w:t xml:space="preserve"> </w:t>
      </w:r>
      <w:r w:rsidRPr="00760B70">
        <w:rPr>
          <w:sz w:val="26"/>
          <w:szCs w:val="28"/>
        </w:rPr>
        <w:t xml:space="preserve">will focus on the importance of defining clear learning targets as well as guide teachers through the process of creating “a road map” that outlines a progression of steps that students must know in order to achieve the desired learning target.   Different kinds of learning targets related to Bloom’s revised taxonomy will be discussed to help teachers select tasks that will provide students with multiple learning experiences.  </w:t>
      </w:r>
      <w:r w:rsidR="001836E1">
        <w:rPr>
          <w:sz w:val="26"/>
          <w:szCs w:val="28"/>
        </w:rPr>
        <w:t xml:space="preserve">               </w:t>
      </w:r>
      <w:r w:rsidR="001836E1" w:rsidRPr="001836E1">
        <w:rPr>
          <w:rFonts w:ascii="Century Gothic" w:hAnsi="Century Gothic"/>
          <w:i/>
          <w:sz w:val="20"/>
          <w:szCs w:val="20"/>
        </w:rPr>
        <w:t>K-2 MA57702           3-5 MA57703</w:t>
      </w:r>
    </w:p>
    <w:p w:rsidR="00255C78" w:rsidRPr="00760B70" w:rsidRDefault="00255C78" w:rsidP="00255C78">
      <w:pPr>
        <w:spacing w:after="0"/>
        <w:rPr>
          <w:sz w:val="26"/>
          <w:szCs w:val="28"/>
        </w:rPr>
      </w:pPr>
    </w:p>
    <w:p w:rsidR="00255C78" w:rsidRDefault="00255C78" w:rsidP="00255C78">
      <w:pPr>
        <w:spacing w:after="0"/>
        <w:rPr>
          <w:sz w:val="26"/>
          <w:szCs w:val="28"/>
        </w:rPr>
      </w:pPr>
      <w:r w:rsidRPr="00760B70">
        <w:rPr>
          <w:b/>
          <w:color w:val="00B050"/>
          <w:sz w:val="26"/>
          <w:szCs w:val="28"/>
          <w:u w:val="single"/>
        </w:rPr>
        <w:t>Module 2: Questioning and Task Selection</w:t>
      </w:r>
      <w:r w:rsidRPr="00760B70">
        <w:rPr>
          <w:b/>
          <w:sz w:val="26"/>
          <w:szCs w:val="28"/>
        </w:rPr>
        <w:t xml:space="preserve"> </w:t>
      </w:r>
      <w:r w:rsidRPr="00760B70">
        <w:rPr>
          <w:sz w:val="26"/>
          <w:szCs w:val="28"/>
        </w:rPr>
        <w:t>breaks down the types of questions teachers ask students to support lessons and tasks.  Teachers will explore routine and non-routine questions that are often instructional tasks from which teachers can gain formative assessment about student understanding.</w:t>
      </w:r>
    </w:p>
    <w:p w:rsidR="001836E1" w:rsidRPr="00760B70" w:rsidRDefault="001836E1" w:rsidP="00255C78">
      <w:pPr>
        <w:spacing w:after="0"/>
        <w:rPr>
          <w:b/>
          <w:sz w:val="26"/>
          <w:szCs w:val="28"/>
          <w:u w:val="single"/>
        </w:rPr>
      </w:pPr>
      <w:r>
        <w:rPr>
          <w:sz w:val="26"/>
          <w:szCs w:val="28"/>
        </w:rPr>
        <w:t xml:space="preserve">                                                                                                               </w:t>
      </w:r>
      <w:r>
        <w:rPr>
          <w:rFonts w:ascii="Century Gothic" w:hAnsi="Century Gothic"/>
          <w:i/>
          <w:sz w:val="20"/>
          <w:szCs w:val="20"/>
        </w:rPr>
        <w:t>K-2 MA57704</w:t>
      </w:r>
      <w:r w:rsidRPr="001836E1">
        <w:rPr>
          <w:rFonts w:ascii="Century Gothic" w:hAnsi="Century Gothic"/>
          <w:i/>
          <w:sz w:val="20"/>
          <w:szCs w:val="20"/>
        </w:rPr>
        <w:t xml:space="preserve">           3-5 MA5770</w:t>
      </w:r>
      <w:r>
        <w:rPr>
          <w:rFonts w:ascii="Century Gothic" w:hAnsi="Century Gothic"/>
          <w:i/>
          <w:sz w:val="20"/>
          <w:szCs w:val="20"/>
        </w:rPr>
        <w:t>5</w:t>
      </w:r>
    </w:p>
    <w:p w:rsidR="00255C78" w:rsidRPr="00760B70" w:rsidRDefault="00255C78" w:rsidP="00255C78">
      <w:pPr>
        <w:spacing w:after="0"/>
        <w:rPr>
          <w:sz w:val="26"/>
          <w:szCs w:val="28"/>
        </w:rPr>
      </w:pPr>
    </w:p>
    <w:p w:rsidR="00255C78" w:rsidRDefault="00255C78" w:rsidP="00255C78">
      <w:pPr>
        <w:spacing w:after="0"/>
        <w:rPr>
          <w:sz w:val="26"/>
          <w:szCs w:val="28"/>
        </w:rPr>
      </w:pPr>
      <w:r w:rsidRPr="00760B70">
        <w:rPr>
          <w:b/>
          <w:color w:val="0070C0"/>
          <w:sz w:val="26"/>
          <w:szCs w:val="28"/>
          <w:u w:val="single"/>
        </w:rPr>
        <w:t>Module 3:  Inferences and Feedback</w:t>
      </w:r>
      <w:r w:rsidRPr="00760B70">
        <w:rPr>
          <w:b/>
          <w:sz w:val="26"/>
          <w:szCs w:val="28"/>
        </w:rPr>
        <w:t xml:space="preserve"> </w:t>
      </w:r>
      <w:r w:rsidRPr="00760B70">
        <w:rPr>
          <w:sz w:val="26"/>
          <w:szCs w:val="28"/>
        </w:rPr>
        <w:t>will look at what we can learn from student conversations and work samples.  Teachers will be presented with a variety of ways to document student learning and understanding.  The importance of student interviews will be discussed, and teachers will have an opportunity to analyze feedback and learn how to provide helpful feedback to students.</w:t>
      </w:r>
    </w:p>
    <w:p w:rsidR="001836E1" w:rsidRPr="00760B70" w:rsidRDefault="001836E1" w:rsidP="00255C78">
      <w:pPr>
        <w:spacing w:after="0"/>
        <w:rPr>
          <w:i/>
          <w:sz w:val="26"/>
          <w:szCs w:val="28"/>
        </w:rPr>
      </w:pPr>
      <w:r>
        <w:rPr>
          <w:sz w:val="26"/>
          <w:szCs w:val="28"/>
        </w:rPr>
        <w:tab/>
      </w:r>
      <w:r>
        <w:rPr>
          <w:sz w:val="26"/>
          <w:szCs w:val="28"/>
        </w:rPr>
        <w:tab/>
      </w:r>
      <w:r>
        <w:rPr>
          <w:sz w:val="26"/>
          <w:szCs w:val="28"/>
        </w:rPr>
        <w:tab/>
      </w:r>
      <w:r>
        <w:rPr>
          <w:sz w:val="26"/>
          <w:szCs w:val="28"/>
        </w:rPr>
        <w:tab/>
      </w:r>
      <w:r>
        <w:rPr>
          <w:sz w:val="26"/>
          <w:szCs w:val="28"/>
        </w:rPr>
        <w:tab/>
      </w:r>
      <w:r>
        <w:rPr>
          <w:sz w:val="26"/>
          <w:szCs w:val="28"/>
        </w:rPr>
        <w:tab/>
      </w:r>
      <w:r>
        <w:rPr>
          <w:sz w:val="26"/>
          <w:szCs w:val="28"/>
        </w:rPr>
        <w:tab/>
      </w:r>
      <w:r>
        <w:rPr>
          <w:sz w:val="26"/>
          <w:szCs w:val="28"/>
        </w:rPr>
        <w:tab/>
      </w:r>
      <w:r>
        <w:rPr>
          <w:sz w:val="26"/>
          <w:szCs w:val="28"/>
        </w:rPr>
        <w:tab/>
      </w:r>
      <w:r>
        <w:rPr>
          <w:rFonts w:ascii="Century Gothic" w:hAnsi="Century Gothic"/>
          <w:i/>
          <w:sz w:val="20"/>
          <w:szCs w:val="20"/>
        </w:rPr>
        <w:t>K-2 MA57706</w:t>
      </w:r>
      <w:r w:rsidRPr="001836E1">
        <w:rPr>
          <w:rFonts w:ascii="Century Gothic" w:hAnsi="Century Gothic"/>
          <w:i/>
          <w:sz w:val="20"/>
          <w:szCs w:val="20"/>
        </w:rPr>
        <w:t xml:space="preserve">           3-5 MA5770</w:t>
      </w:r>
      <w:r>
        <w:rPr>
          <w:rFonts w:ascii="Century Gothic" w:hAnsi="Century Gothic"/>
          <w:i/>
          <w:sz w:val="20"/>
          <w:szCs w:val="20"/>
        </w:rPr>
        <w:t>7</w:t>
      </w:r>
    </w:p>
    <w:p w:rsidR="00255C78" w:rsidRPr="00760B70" w:rsidRDefault="00255C78" w:rsidP="00255C78">
      <w:pPr>
        <w:spacing w:after="0"/>
        <w:rPr>
          <w:sz w:val="26"/>
          <w:szCs w:val="28"/>
        </w:rPr>
      </w:pPr>
    </w:p>
    <w:p w:rsidR="00255C78" w:rsidRPr="00760B70" w:rsidRDefault="00255C78" w:rsidP="00255C78">
      <w:pPr>
        <w:spacing w:after="0"/>
        <w:rPr>
          <w:sz w:val="26"/>
          <w:szCs w:val="28"/>
        </w:rPr>
      </w:pPr>
      <w:r w:rsidRPr="00760B70">
        <w:rPr>
          <w:b/>
          <w:color w:val="FF6600"/>
          <w:sz w:val="26"/>
          <w:szCs w:val="28"/>
          <w:u w:val="single"/>
        </w:rPr>
        <w:t>Module 4:  Making Students Active Partners</w:t>
      </w:r>
      <w:r w:rsidRPr="00760B70">
        <w:rPr>
          <w:sz w:val="26"/>
          <w:szCs w:val="28"/>
        </w:rPr>
        <w:t xml:space="preserve"> will discuss ways to involve students in their learning and how it is a key characteristic of formative assessment.  Teachers will identify characteristics to empower student responsibility and discuss the importance of classroom discussions for students to think about their thinking as well as self-assess.</w:t>
      </w:r>
      <w:r w:rsidR="001836E1">
        <w:rPr>
          <w:sz w:val="26"/>
          <w:szCs w:val="28"/>
        </w:rPr>
        <w:tab/>
      </w:r>
      <w:r w:rsidR="001836E1">
        <w:rPr>
          <w:sz w:val="26"/>
          <w:szCs w:val="28"/>
        </w:rPr>
        <w:tab/>
      </w:r>
      <w:r w:rsidR="001836E1">
        <w:rPr>
          <w:sz w:val="26"/>
          <w:szCs w:val="28"/>
        </w:rPr>
        <w:tab/>
      </w:r>
      <w:r w:rsidR="001836E1">
        <w:rPr>
          <w:rFonts w:ascii="Century Gothic" w:hAnsi="Century Gothic"/>
          <w:i/>
          <w:sz w:val="20"/>
          <w:szCs w:val="20"/>
        </w:rPr>
        <w:t>K-2 MA57708</w:t>
      </w:r>
      <w:r w:rsidR="001836E1" w:rsidRPr="001836E1">
        <w:rPr>
          <w:rFonts w:ascii="Century Gothic" w:hAnsi="Century Gothic"/>
          <w:i/>
          <w:sz w:val="20"/>
          <w:szCs w:val="20"/>
        </w:rPr>
        <w:t xml:space="preserve">           3-5 MA5770</w:t>
      </w:r>
      <w:r w:rsidR="001836E1">
        <w:rPr>
          <w:rFonts w:ascii="Century Gothic" w:hAnsi="Century Gothic"/>
          <w:i/>
          <w:sz w:val="20"/>
          <w:szCs w:val="20"/>
        </w:rPr>
        <w:t>9</w:t>
      </w:r>
    </w:p>
    <w:p w:rsidR="00255C78" w:rsidRPr="00760B70" w:rsidRDefault="00255C78" w:rsidP="00255C78">
      <w:pPr>
        <w:spacing w:after="0"/>
        <w:rPr>
          <w:sz w:val="26"/>
          <w:szCs w:val="28"/>
        </w:rPr>
      </w:pPr>
    </w:p>
    <w:p w:rsidR="00255C78" w:rsidRPr="00760B70" w:rsidRDefault="00255C78" w:rsidP="00255C78">
      <w:pPr>
        <w:spacing w:after="0"/>
        <w:rPr>
          <w:sz w:val="26"/>
          <w:szCs w:val="28"/>
        </w:rPr>
      </w:pPr>
      <w:r w:rsidRPr="00760B70">
        <w:rPr>
          <w:b/>
          <w:color w:val="7030A0"/>
          <w:sz w:val="26"/>
          <w:szCs w:val="28"/>
          <w:u w:val="single"/>
        </w:rPr>
        <w:t>Module 5</w:t>
      </w:r>
      <w:r w:rsidR="00440FF9" w:rsidRPr="00760B70">
        <w:rPr>
          <w:b/>
          <w:color w:val="7030A0"/>
          <w:sz w:val="26"/>
          <w:szCs w:val="28"/>
          <w:u w:val="single"/>
        </w:rPr>
        <w:t xml:space="preserve"> (K-2)</w:t>
      </w:r>
      <w:r w:rsidRPr="00760B70">
        <w:rPr>
          <w:b/>
          <w:color w:val="7030A0"/>
          <w:sz w:val="26"/>
          <w:szCs w:val="28"/>
          <w:u w:val="single"/>
        </w:rPr>
        <w:t>:  Student Self-Assessment and Responsibility</w:t>
      </w:r>
      <w:r w:rsidRPr="00760B70">
        <w:rPr>
          <w:sz w:val="26"/>
          <w:szCs w:val="28"/>
        </w:rPr>
        <w:t xml:space="preserve"> will continue to focus on student involvement in the assessment process </w:t>
      </w:r>
      <w:r w:rsidRPr="00760B70">
        <w:rPr>
          <w:i/>
          <w:sz w:val="26"/>
          <w:szCs w:val="28"/>
        </w:rPr>
        <w:t xml:space="preserve">(from Module 4).  </w:t>
      </w:r>
      <w:r w:rsidRPr="00760B70">
        <w:rPr>
          <w:sz w:val="26"/>
          <w:szCs w:val="28"/>
        </w:rPr>
        <w:t>Teachers will learn how to utilize rubrics to communicate expectations to students.  Teachers will explore strategies that promote peer collaboration and self-assessment.</w:t>
      </w:r>
      <w:r w:rsidR="001836E1">
        <w:rPr>
          <w:sz w:val="26"/>
          <w:szCs w:val="28"/>
        </w:rPr>
        <w:tab/>
      </w:r>
      <w:r w:rsidR="001836E1">
        <w:rPr>
          <w:sz w:val="26"/>
          <w:szCs w:val="28"/>
        </w:rPr>
        <w:tab/>
      </w:r>
      <w:r w:rsidR="001836E1">
        <w:rPr>
          <w:sz w:val="26"/>
          <w:szCs w:val="28"/>
        </w:rPr>
        <w:tab/>
      </w:r>
      <w:r w:rsidR="001836E1">
        <w:rPr>
          <w:sz w:val="26"/>
          <w:szCs w:val="28"/>
        </w:rPr>
        <w:tab/>
      </w:r>
      <w:r w:rsidR="001836E1">
        <w:rPr>
          <w:rFonts w:ascii="Century Gothic" w:hAnsi="Century Gothic"/>
          <w:i/>
          <w:sz w:val="20"/>
          <w:szCs w:val="20"/>
        </w:rPr>
        <w:t>K-2 MA57710</w:t>
      </w:r>
      <w:r w:rsidR="001836E1" w:rsidRPr="001836E1">
        <w:rPr>
          <w:rFonts w:ascii="Century Gothic" w:hAnsi="Century Gothic"/>
          <w:i/>
          <w:sz w:val="20"/>
          <w:szCs w:val="20"/>
        </w:rPr>
        <w:t xml:space="preserve">           </w:t>
      </w:r>
    </w:p>
    <w:p w:rsidR="00440FF9" w:rsidRPr="00760B70" w:rsidRDefault="00760B70" w:rsidP="00760B70">
      <w:pPr>
        <w:spacing w:after="0"/>
        <w:jc w:val="center"/>
        <w:rPr>
          <w:sz w:val="40"/>
          <w:szCs w:val="40"/>
        </w:rPr>
      </w:pPr>
      <w:r w:rsidRPr="00760B70">
        <w:rPr>
          <w:sz w:val="40"/>
          <w:szCs w:val="40"/>
        </w:rPr>
        <w:t>OR</w:t>
      </w:r>
    </w:p>
    <w:p w:rsidR="00440FF9" w:rsidRDefault="00440FF9" w:rsidP="00255C78">
      <w:pPr>
        <w:spacing w:after="0"/>
        <w:rPr>
          <w:sz w:val="26"/>
          <w:szCs w:val="28"/>
        </w:rPr>
      </w:pPr>
      <w:r w:rsidRPr="00760B70">
        <w:rPr>
          <w:b/>
          <w:color w:val="7030A0"/>
          <w:sz w:val="26"/>
          <w:szCs w:val="28"/>
          <w:u w:val="single"/>
        </w:rPr>
        <w:t xml:space="preserve">Module 5  (3-5):  Decisions about Next Steps </w:t>
      </w:r>
      <w:r w:rsidR="00A174FB">
        <w:rPr>
          <w:color w:val="7030A0"/>
          <w:sz w:val="26"/>
          <w:szCs w:val="28"/>
        </w:rPr>
        <w:t xml:space="preserve"> </w:t>
      </w:r>
      <w:r w:rsidR="00A174FB" w:rsidRPr="00A174FB">
        <w:rPr>
          <w:sz w:val="26"/>
          <w:szCs w:val="28"/>
        </w:rPr>
        <w:t>leads teachers through what to do</w:t>
      </w:r>
      <w:r w:rsidRPr="00760B70">
        <w:rPr>
          <w:sz w:val="26"/>
          <w:szCs w:val="28"/>
        </w:rPr>
        <w:t xml:space="preserve"> after we have done various kinds of assessments and know what our children know and can do mathematically.  Teachers will discuss strategies for differentiated instruction including questioning, flexible groups, scaffolding, and student choice.</w:t>
      </w:r>
      <w:r w:rsidR="001836E1">
        <w:rPr>
          <w:sz w:val="26"/>
          <w:szCs w:val="28"/>
        </w:rPr>
        <w:tab/>
      </w:r>
      <w:r w:rsidR="001836E1">
        <w:rPr>
          <w:sz w:val="26"/>
          <w:szCs w:val="28"/>
        </w:rPr>
        <w:tab/>
      </w:r>
      <w:r w:rsidR="001836E1">
        <w:rPr>
          <w:sz w:val="26"/>
          <w:szCs w:val="28"/>
        </w:rPr>
        <w:tab/>
      </w:r>
      <w:r w:rsidR="001836E1">
        <w:rPr>
          <w:sz w:val="26"/>
          <w:szCs w:val="28"/>
        </w:rPr>
        <w:tab/>
      </w:r>
      <w:r w:rsidR="001836E1">
        <w:rPr>
          <w:sz w:val="26"/>
          <w:szCs w:val="28"/>
        </w:rPr>
        <w:tab/>
      </w:r>
      <w:r w:rsidR="001836E1">
        <w:rPr>
          <w:sz w:val="26"/>
          <w:szCs w:val="28"/>
        </w:rPr>
        <w:tab/>
      </w:r>
      <w:r w:rsidR="001836E1">
        <w:rPr>
          <w:sz w:val="26"/>
          <w:szCs w:val="28"/>
        </w:rPr>
        <w:tab/>
      </w:r>
      <w:r w:rsidR="00842B19">
        <w:rPr>
          <w:rFonts w:ascii="Century Gothic" w:hAnsi="Century Gothic"/>
          <w:i/>
          <w:sz w:val="20"/>
          <w:szCs w:val="20"/>
        </w:rPr>
        <w:t>3-</w:t>
      </w:r>
      <w:r w:rsidR="001836E1">
        <w:rPr>
          <w:rFonts w:ascii="Century Gothic" w:hAnsi="Century Gothic"/>
          <w:i/>
          <w:sz w:val="20"/>
          <w:szCs w:val="20"/>
        </w:rPr>
        <w:t>5 MA57711</w:t>
      </w:r>
      <w:r w:rsidR="001836E1" w:rsidRPr="001836E1">
        <w:rPr>
          <w:rFonts w:ascii="Century Gothic" w:hAnsi="Century Gothic"/>
          <w:i/>
          <w:sz w:val="20"/>
          <w:szCs w:val="20"/>
        </w:rPr>
        <w:t xml:space="preserve">           </w:t>
      </w:r>
    </w:p>
    <w:sectPr w:rsidR="00440FF9" w:rsidSect="00EF3AAC">
      <w:footerReference w:type="default" r:id="rId8"/>
      <w:pgSz w:w="12240" w:h="20160" w:code="5"/>
      <w:pgMar w:top="720" w:right="720" w:bottom="720" w:left="720" w:header="720" w:footer="720" w:gutter="0"/>
      <w:pgBorders w:offsetFrom="page">
        <w:top w:val="single" w:sz="24" w:space="24" w:color="00B050"/>
        <w:left w:val="single" w:sz="24" w:space="24" w:color="00B050"/>
        <w:bottom w:val="single" w:sz="24" w:space="24" w:color="00B050"/>
        <w:right w:val="single" w:sz="24" w:space="24" w:color="00B050"/>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3273" w:rsidRDefault="00263273" w:rsidP="00043BED">
      <w:pPr>
        <w:spacing w:after="0" w:line="240" w:lineRule="auto"/>
      </w:pPr>
      <w:r>
        <w:separator/>
      </w:r>
    </w:p>
  </w:endnote>
  <w:endnote w:type="continuationSeparator" w:id="0">
    <w:p w:rsidR="00263273" w:rsidRDefault="00263273" w:rsidP="00043B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BED" w:rsidRPr="00F45E55" w:rsidRDefault="00043BED">
    <w:pPr>
      <w:pStyle w:val="Footer"/>
      <w:rPr>
        <w:rFonts w:ascii="Century Gothic" w:hAnsi="Century Gothic"/>
        <w:b/>
        <w:i/>
        <w:sz w:val="24"/>
        <w:szCs w:val="24"/>
      </w:rPr>
    </w:pPr>
    <w:r w:rsidRPr="00F45E55">
      <w:rPr>
        <w:rFonts w:ascii="Century Gothic" w:hAnsi="Century Gothic"/>
        <w:b/>
        <w:i/>
        <w:sz w:val="24"/>
        <w:szCs w:val="24"/>
      </w:rPr>
      <w:t xml:space="preserve">The Partners for Mathematics Learning Assessment modules support the Rubric for Evaluating NC Teachers Standards IV and V.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3273" w:rsidRDefault="00263273" w:rsidP="00043BED">
      <w:pPr>
        <w:spacing w:after="0" w:line="240" w:lineRule="auto"/>
      </w:pPr>
      <w:r>
        <w:separator/>
      </w:r>
    </w:p>
  </w:footnote>
  <w:footnote w:type="continuationSeparator" w:id="0">
    <w:p w:rsidR="00263273" w:rsidRDefault="00263273" w:rsidP="00043B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8.25pt" o:bullet="t">
        <v:imagedata r:id="rId1" o:title="BD21299_"/>
      </v:shape>
    </w:pict>
  </w:numPicBullet>
  <w:abstractNum w:abstractNumId="0">
    <w:nsid w:val="51527F05"/>
    <w:multiLevelType w:val="hybridMultilevel"/>
    <w:tmpl w:val="784C7A80"/>
    <w:lvl w:ilvl="0" w:tplc="86CCE5C0">
      <w:start w:val="1"/>
      <w:numFmt w:val="bullet"/>
      <w:lvlText w:val=""/>
      <w:lvlPicBulletId w:val="0"/>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2DE2508"/>
    <w:multiLevelType w:val="hybridMultilevel"/>
    <w:tmpl w:val="9748376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55C78"/>
    <w:rsid w:val="00023F98"/>
    <w:rsid w:val="000421D8"/>
    <w:rsid w:val="00043BED"/>
    <w:rsid w:val="000C16EA"/>
    <w:rsid w:val="000E27B2"/>
    <w:rsid w:val="00125B4A"/>
    <w:rsid w:val="0013152E"/>
    <w:rsid w:val="0016256E"/>
    <w:rsid w:val="0018216A"/>
    <w:rsid w:val="001836E1"/>
    <w:rsid w:val="001B6C51"/>
    <w:rsid w:val="00255C78"/>
    <w:rsid w:val="00263273"/>
    <w:rsid w:val="002C13BD"/>
    <w:rsid w:val="002E5AD7"/>
    <w:rsid w:val="00336333"/>
    <w:rsid w:val="003E6639"/>
    <w:rsid w:val="00440FF9"/>
    <w:rsid w:val="0056730E"/>
    <w:rsid w:val="0058732D"/>
    <w:rsid w:val="005A6815"/>
    <w:rsid w:val="006E76E8"/>
    <w:rsid w:val="00734638"/>
    <w:rsid w:val="00760B70"/>
    <w:rsid w:val="00765978"/>
    <w:rsid w:val="007E2F59"/>
    <w:rsid w:val="008318A9"/>
    <w:rsid w:val="00842239"/>
    <w:rsid w:val="00842B19"/>
    <w:rsid w:val="00905920"/>
    <w:rsid w:val="00A174FB"/>
    <w:rsid w:val="00AD7B4B"/>
    <w:rsid w:val="00B127CB"/>
    <w:rsid w:val="00B328D5"/>
    <w:rsid w:val="00C1081B"/>
    <w:rsid w:val="00C25405"/>
    <w:rsid w:val="00CE4E3B"/>
    <w:rsid w:val="00EF3AAC"/>
    <w:rsid w:val="00F3604D"/>
    <w:rsid w:val="00F45E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C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5C78"/>
    <w:pPr>
      <w:ind w:left="720"/>
      <w:contextualSpacing/>
    </w:pPr>
  </w:style>
  <w:style w:type="paragraph" w:styleId="Header">
    <w:name w:val="header"/>
    <w:basedOn w:val="Normal"/>
    <w:link w:val="HeaderChar"/>
    <w:uiPriority w:val="99"/>
    <w:semiHidden/>
    <w:unhideWhenUsed/>
    <w:rsid w:val="00043BE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43BED"/>
  </w:style>
  <w:style w:type="paragraph" w:styleId="Footer">
    <w:name w:val="footer"/>
    <w:basedOn w:val="Normal"/>
    <w:link w:val="FooterChar"/>
    <w:uiPriority w:val="99"/>
    <w:unhideWhenUsed/>
    <w:rsid w:val="00043B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3BED"/>
  </w:style>
  <w:style w:type="paragraph" w:styleId="BalloonText">
    <w:name w:val="Balloon Text"/>
    <w:basedOn w:val="Normal"/>
    <w:link w:val="BalloonTextChar"/>
    <w:uiPriority w:val="99"/>
    <w:semiHidden/>
    <w:unhideWhenUsed/>
    <w:rsid w:val="00043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3B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Wake County Schools</Company>
  <LinksUpToDate>false</LinksUpToDate>
  <CharactersWithSpaces>2633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kelly_hayman</dc:creator>
  <cp:keywords/>
  <dc:description/>
  <cp:lastModifiedBy>michelle_tucker</cp:lastModifiedBy>
  <cp:revision>2</cp:revision>
  <cp:lastPrinted>2010-08-18T20:14:00Z</cp:lastPrinted>
  <dcterms:created xsi:type="dcterms:W3CDTF">2010-09-15T12:58:00Z</dcterms:created>
  <dcterms:modified xsi:type="dcterms:W3CDTF">2010-09-15T12:58:00Z</dcterms:modified>
</cp:coreProperties>
</file>